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56" w:rsidRDefault="00C15956">
      <w:r>
        <w:rPr>
          <w:noProof/>
        </w:rPr>
        <w:drawing>
          <wp:inline distT="0" distB="0" distL="0" distR="0">
            <wp:extent cx="5940425" cy="92614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B09" w:rsidRDefault="00895B09" w:rsidP="00B738DA">
      <w:pPr>
        <w:ind w:left="284"/>
      </w:pPr>
    </w:p>
    <w:p w:rsidR="00C15956" w:rsidRDefault="00C15956"/>
    <w:p w:rsidR="00B738DA" w:rsidRDefault="00B738DA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— это жева</w:t>
      </w:r>
      <w:r>
        <w:rPr>
          <w:rFonts w:ascii="Times New Roman" w:hAnsi="Times New Roman" w:cs="Times New Roman"/>
          <w:sz w:val="28"/>
          <w:szCs w:val="28"/>
        </w:rPr>
        <w:t xml:space="preserve">тельные конфеты необычной формы </w:t>
      </w:r>
      <w:r w:rsidRPr="00FA2975">
        <w:rPr>
          <w:rFonts w:ascii="Times New Roman" w:hAnsi="Times New Roman" w:cs="Times New Roman"/>
          <w:sz w:val="28"/>
          <w:szCs w:val="28"/>
        </w:rPr>
        <w:t>и ярких цветов от Марии Шарапов</w:t>
      </w:r>
      <w:r>
        <w:rPr>
          <w:rFonts w:ascii="Times New Roman" w:hAnsi="Times New Roman" w:cs="Times New Roman"/>
          <w:sz w:val="28"/>
          <w:szCs w:val="28"/>
        </w:rPr>
        <w:t xml:space="preserve">ой для жизнерадостных любителей </w:t>
      </w:r>
      <w:r w:rsidRPr="00FA2975">
        <w:rPr>
          <w:rFonts w:ascii="Times New Roman" w:hAnsi="Times New Roman" w:cs="Times New Roman"/>
          <w:sz w:val="28"/>
          <w:szCs w:val="28"/>
        </w:rPr>
        <w:t>сладкого». Проанализируйте данное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и выделите </w:t>
      </w:r>
      <w:r>
        <w:rPr>
          <w:rFonts w:ascii="Times New Roman" w:hAnsi="Times New Roman" w:cs="Times New Roman"/>
          <w:sz w:val="28"/>
          <w:szCs w:val="28"/>
          <w:lang w:val="en-US"/>
        </w:rPr>
        <w:t>Target (</w:t>
      </w:r>
      <w:r>
        <w:rPr>
          <w:rFonts w:ascii="Times New Roman" w:hAnsi="Times New Roman" w:cs="Times New Roman"/>
          <w:sz w:val="28"/>
          <w:szCs w:val="28"/>
        </w:rPr>
        <w:t xml:space="preserve">целевой сегмент), </w:t>
      </w:r>
      <w:r>
        <w:rPr>
          <w:rFonts w:ascii="Times New Roman" w:hAnsi="Times New Roman" w:cs="Times New Roman"/>
          <w:sz w:val="28"/>
          <w:szCs w:val="28"/>
          <w:lang w:val="en-US"/>
        </w:rPr>
        <w:t>Point of  Parity (</w:t>
      </w:r>
      <w:r>
        <w:rPr>
          <w:rFonts w:ascii="Times New Roman" w:hAnsi="Times New Roman" w:cs="Times New Roman"/>
          <w:sz w:val="28"/>
          <w:szCs w:val="28"/>
        </w:rPr>
        <w:t xml:space="preserve">паритет), </w:t>
      </w:r>
      <w:r>
        <w:rPr>
          <w:rFonts w:ascii="Times New Roman" w:hAnsi="Times New Roman" w:cs="Times New Roman"/>
          <w:sz w:val="28"/>
          <w:szCs w:val="28"/>
          <w:lang w:val="en-US"/>
        </w:rPr>
        <w:t>Point of Difference (</w:t>
      </w:r>
      <w:r>
        <w:rPr>
          <w:rFonts w:ascii="Times New Roman" w:hAnsi="Times New Roman" w:cs="Times New Roman"/>
          <w:sz w:val="28"/>
          <w:szCs w:val="28"/>
        </w:rPr>
        <w:t>отличительную особенность).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parity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>» указывает на отличительные черты и преимущества, которые предъявляются ко всем компаниям, претендующими на то, чтобы стать конкурентоспособными в своей нише.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>» может быть переведен с английского, как отличительный признак. Другими словами это то, что отличает вас на рынке, что делает предложения вашей фирмы уникальными и привлекательными. Составляя контекстную рекламу, именно эти преимущества должна указывать фирма, в надежде завоевать потребителей со средней степенью готовности.</w:t>
      </w:r>
    </w:p>
    <w:p w:rsidR="00E66162" w:rsidRDefault="00E66162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E66162">
        <w:rPr>
          <w:rFonts w:ascii="Times New Roman" w:hAnsi="Times New Roman" w:cs="Times New Roman"/>
          <w:sz w:val="28"/>
          <w:szCs w:val="28"/>
        </w:rPr>
        <w:t>елевой сегмент – это сегмент, с которым вы собираетесь работать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В данном случае в качестве сегмен</w:t>
      </w:r>
      <w:r>
        <w:rPr>
          <w:rFonts w:ascii="Times New Roman" w:hAnsi="Times New Roman" w:cs="Times New Roman"/>
          <w:sz w:val="28"/>
          <w:szCs w:val="28"/>
        </w:rPr>
        <w:t xml:space="preserve">та выступают любители сладкого.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Таргет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(«лакомый кусочек», на который будет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 бренд и направлены </w:t>
      </w:r>
      <w:r w:rsidRPr="00E66162">
        <w:rPr>
          <w:rFonts w:ascii="Times New Roman" w:hAnsi="Times New Roman" w:cs="Times New Roman"/>
          <w:sz w:val="28"/>
          <w:szCs w:val="28"/>
        </w:rPr>
        <w:t>коммуникации) — жизнерадостны</w:t>
      </w:r>
      <w:r>
        <w:rPr>
          <w:rFonts w:ascii="Times New Roman" w:hAnsi="Times New Roman" w:cs="Times New Roman"/>
          <w:sz w:val="28"/>
          <w:szCs w:val="28"/>
        </w:rPr>
        <w:t xml:space="preserve">е любители сладкого. Заявлено </w:t>
      </w:r>
      <w:r w:rsidRPr="00E66162">
        <w:rPr>
          <w:rFonts w:ascii="Times New Roman" w:hAnsi="Times New Roman" w:cs="Times New Roman"/>
          <w:sz w:val="28"/>
          <w:szCs w:val="28"/>
        </w:rPr>
        <w:t>утверждение «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— это жевательные конфеты необычной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>формы и ярких цветов от Марии Шарапов</w:t>
      </w:r>
      <w:r>
        <w:rPr>
          <w:rFonts w:ascii="Times New Roman" w:hAnsi="Times New Roman" w:cs="Times New Roman"/>
          <w:sz w:val="28"/>
          <w:szCs w:val="28"/>
        </w:rPr>
        <w:t xml:space="preserve">ой для жизнерадостных любителей </w:t>
      </w:r>
      <w:r w:rsidRPr="00E66162">
        <w:rPr>
          <w:rFonts w:ascii="Times New Roman" w:hAnsi="Times New Roman" w:cs="Times New Roman"/>
          <w:sz w:val="28"/>
          <w:szCs w:val="28"/>
        </w:rPr>
        <w:t>сладкого» есть формулировка пози</w:t>
      </w:r>
      <w:r>
        <w:rPr>
          <w:rFonts w:ascii="Times New Roman" w:hAnsi="Times New Roman" w:cs="Times New Roman"/>
          <w:sz w:val="28"/>
          <w:szCs w:val="28"/>
        </w:rPr>
        <w:t xml:space="preserve">ционирования, где отличительной </w:t>
      </w:r>
      <w:r w:rsidRPr="00E66162">
        <w:rPr>
          <w:rFonts w:ascii="Times New Roman" w:hAnsi="Times New Roman" w:cs="Times New Roman"/>
          <w:sz w:val="28"/>
          <w:szCs w:val="28"/>
        </w:rPr>
        <w:t xml:space="preserve">особенностью бренда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являютс</w:t>
      </w:r>
      <w:r>
        <w:rPr>
          <w:rFonts w:ascii="Times New Roman" w:hAnsi="Times New Roman" w:cs="Times New Roman"/>
          <w:sz w:val="28"/>
          <w:szCs w:val="28"/>
        </w:rPr>
        <w:t xml:space="preserve">я жевательные конфеты необычной </w:t>
      </w:r>
      <w:r w:rsidRPr="00E66162">
        <w:rPr>
          <w:rFonts w:ascii="Times New Roman" w:hAnsi="Times New Roman" w:cs="Times New Roman"/>
          <w:sz w:val="28"/>
          <w:szCs w:val="28"/>
        </w:rPr>
        <w:t>формы и ярких цветов от Марии Шараповой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975" w:rsidRDefault="00E66162" w:rsidP="00FA2975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E01448" wp14:editId="5776EEE3">
            <wp:extent cx="5904230" cy="1158875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модулю 3.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Unilever Brand Key</w:t>
      </w:r>
      <w:r>
        <w:rPr>
          <w:rFonts w:ascii="Times New Roman" w:hAnsi="Times New Roman" w:cs="Times New Roman"/>
          <w:sz w:val="28"/>
          <w:szCs w:val="28"/>
        </w:rPr>
        <w:t xml:space="preserve">, проанализируйте бренд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LaDuree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BEB" w:rsidRDefault="00E66162" w:rsidP="008B0BE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 xml:space="preserve">Данная модель на сегодня одна из наиболее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распространенных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>. По сути, она объединяет в себе факторный и процессуальн</w:t>
      </w:r>
      <w:r>
        <w:rPr>
          <w:rFonts w:ascii="Times New Roman" w:hAnsi="Times New Roman" w:cs="Times New Roman"/>
          <w:sz w:val="28"/>
          <w:szCs w:val="28"/>
        </w:rPr>
        <w:t>ый подходы к построению бренда.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В основе построения бренда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 xml:space="preserve">определение и фокусирование на целевой аудитории, с одной стороны, и анализ конкурентной среды с другой. Следующий этап состоит в определении доминирующих мотивов целевых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потребителей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можно использовать, исходя из конкурентной среды, для построения бренда. На этой основе формируется сущность бренда, которая связана с такими элементами, как: определение бренда,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>полезность бренда, ценность и персонификация и ответ на вопрос "почему именно потре</w:t>
      </w:r>
      <w:r>
        <w:rPr>
          <w:rFonts w:ascii="Times New Roman" w:hAnsi="Times New Roman" w:cs="Times New Roman"/>
          <w:sz w:val="28"/>
          <w:szCs w:val="28"/>
        </w:rPr>
        <w:t>битель должен доверять бренду".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Преимуществом модели является то, что в ней показана связка с мотивацией целевой аудитории й спецификой конкурентной среды.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Laduree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– одна из самых известных кондитерских сетей Парижа. Невозможно найти француза, который бы не знал эту марку, и с каждым годом</w:t>
      </w:r>
      <w:r>
        <w:rPr>
          <w:rFonts w:ascii="Times New Roman" w:hAnsi="Times New Roman" w:cs="Times New Roman"/>
          <w:sz w:val="28"/>
          <w:szCs w:val="28"/>
        </w:rPr>
        <w:t xml:space="preserve"> ее популярность только растет.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продаёт чай, шампанское, джемы и недавно решила попробовать себя в качестве продавца дорого шоколада, под брендом Маркизы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. Новый шоколадный бутик находится в районе золотого парижского треугольника, на улице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Кастильон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. Бутик,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и всё, где написано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имеет огромный успех.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 xml:space="preserve">Как ни странно, производная продукция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остаётся очень зависимой от основного товара -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макарун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, продажа которых составляет более половины всех </w:t>
      </w:r>
      <w:r>
        <w:rPr>
          <w:rFonts w:ascii="Times New Roman" w:hAnsi="Times New Roman" w:cs="Times New Roman"/>
          <w:sz w:val="28"/>
          <w:szCs w:val="28"/>
        </w:rPr>
        <w:t xml:space="preserve">суммарных продаж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BEB" w:rsidRDefault="008B0BEB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 бренда:</w:t>
      </w:r>
    </w:p>
    <w:p w:rsidR="008B0BEB" w:rsidRPr="008B0BEB" w:rsidRDefault="000A231D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44862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646495" wp14:editId="017371A3">
            <wp:extent cx="5940425" cy="1017862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к модулю 4.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 1 примеру по каждому способу подкрепления воспринимаемого</w:t>
      </w:r>
      <w:r w:rsidR="00B77F06">
        <w:rPr>
          <w:rFonts w:ascii="Times New Roman" w:hAnsi="Times New Roman" w:cs="Times New Roman"/>
          <w:sz w:val="28"/>
          <w:szCs w:val="28"/>
        </w:rPr>
        <w:t xml:space="preserve"> качества.</w:t>
      </w:r>
    </w:p>
    <w:p w:rsidR="00B77F06" w:rsidRDefault="00B77F06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D16872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2F27">
        <w:rPr>
          <w:rFonts w:ascii="Times New Roman" w:hAnsi="Times New Roman" w:cs="Times New Roman"/>
          <w:sz w:val="28"/>
          <w:szCs w:val="28"/>
        </w:rPr>
        <w:t>Воспринимаемое качество оценка потребителями способности бренда увеличивать качество товара. Очень часто потребитель судит о качестве весьма субъективно. Покупатели не могут, да и ни за что не станут проводить серьезный лабораторный анализ, чтобы узнать содержание и концентрацию ингредиентов в продуктах питания или средствах по уходу за кожей. В связи с этим появляется термин «воспринимаемое качество» (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perceived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), которое в своих трудах использует Дэвид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. По мнению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Аакера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, конкурентным преимуществом </w:t>
      </w:r>
      <w:r w:rsidRPr="00962F27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не само качество, а иллюзия качества. Недостаточно произвести просто хороший товар, важно, чтобы покупатель поверил в него. Несколько лет назад международная компания BIC, специализирующаяся на бритвенных станках, зажигалках и канцелярских товарах, представила рынку духи BIC за 5 долл. Их начали продавать через сеть супермаркетов и аптек, где успех имели ручки и бритвы BIC. Потери за год составили 11 </w:t>
      </w:r>
      <w:proofErr w:type="gramStart"/>
      <w:r w:rsidRPr="00962F2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62F27">
        <w:rPr>
          <w:rFonts w:ascii="Times New Roman" w:hAnsi="Times New Roman" w:cs="Times New Roman"/>
          <w:sz w:val="28"/>
          <w:szCs w:val="28"/>
        </w:rPr>
        <w:t xml:space="preserve"> долл., духи пришлось снять с производства. Воспринимаемое качество этих духов оказалось низким. Воспринимаемое качество можно подкреплять. Для этого существуют специальные механизмы подкрепления воспринимаемого качества. Рассмотрим их. </w:t>
      </w:r>
    </w:p>
    <w:p w:rsidR="00D16872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2F27">
        <w:rPr>
          <w:rFonts w:ascii="Times New Roman" w:hAnsi="Times New Roman" w:cs="Times New Roman"/>
          <w:sz w:val="28"/>
          <w:szCs w:val="28"/>
        </w:rPr>
        <w:t xml:space="preserve">1. Наличие патентов или подтвержденных научных исследований. </w:t>
      </w:r>
    </w:p>
    <w:p w:rsidR="00D16872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2F27">
        <w:rPr>
          <w:rFonts w:ascii="Times New Roman" w:hAnsi="Times New Roman" w:cs="Times New Roman"/>
          <w:sz w:val="28"/>
          <w:szCs w:val="28"/>
        </w:rPr>
        <w:t>2. Связь бренда со страной. Определенные продукты устойчиво ассоциируются со страной происхождения. Издавна ценятся французские духи (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Dior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Chanel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Guerlain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>), французские коньяки (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Henessy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Courvoisier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), русская водка. Многие фирмы идут на некоторые ухищрения, чтобы ассоциироваться с выгодной </w:t>
      </w:r>
      <w:proofErr w:type="gramStart"/>
      <w:r w:rsidRPr="00962F27">
        <w:rPr>
          <w:rFonts w:ascii="Times New Roman" w:hAnsi="Times New Roman" w:cs="Times New Roman"/>
          <w:sz w:val="28"/>
          <w:szCs w:val="28"/>
        </w:rPr>
        <w:t>страной</w:t>
      </w:r>
      <w:proofErr w:type="gramEnd"/>
      <w:r w:rsidRPr="00962F27">
        <w:rPr>
          <w:rFonts w:ascii="Times New Roman" w:hAnsi="Times New Roman" w:cs="Times New Roman"/>
          <w:sz w:val="28"/>
          <w:szCs w:val="28"/>
        </w:rPr>
        <w:t xml:space="preserve"> например, некоторые российские производители одежды дают европейские названия своим брендам. Для большинства российских потребителей французские или итальянские названия имеют «магическое» действие и априори ассоциируются с высоким качеством. </w:t>
      </w:r>
    </w:p>
    <w:p w:rsidR="00B77F06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F27">
        <w:rPr>
          <w:rFonts w:ascii="Times New Roman" w:hAnsi="Times New Roman" w:cs="Times New Roman"/>
          <w:sz w:val="28"/>
          <w:szCs w:val="28"/>
        </w:rPr>
        <w:t xml:space="preserve">3. Заострение внимания на давней истории компании. Преемственность традиций ассоциируется с высоким качеством. Например, швейцарские часы TISSOT выпускаются с 1853 г., а французская парфюмерия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Guerlain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(самый старый французский парфюмерный дом) с 1828 г. Российская фабрика «Большевичка» по пошиву мужских костюмов существует с 1929 г. Сбербанк был основан в 1841 г. и именно ему большая часть населения России оказывает доверие.</w:t>
      </w:r>
    </w:p>
    <w:p w:rsidR="00962F27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2F27">
        <w:rPr>
          <w:rFonts w:ascii="Times New Roman" w:hAnsi="Times New Roman" w:cs="Times New Roman"/>
          <w:sz w:val="28"/>
          <w:szCs w:val="28"/>
        </w:rPr>
        <w:t>4.Продвижение, основанное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известных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клиентах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заказчиках. Из</w:t>
      </w:r>
      <w:r w:rsidRPr="00962F27">
        <w:rPr>
          <w:rFonts w:ascii="Times New Roman" w:hAnsi="Times New Roman" w:cs="Times New Roman"/>
          <w:sz w:val="28"/>
          <w:szCs w:val="28"/>
        </w:rPr>
        <w:t>вестный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 xml:space="preserve">бренд 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Moleskine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обосновывает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записных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книжек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тем,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известные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художники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Матисси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Гог. Венское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 xml:space="preserve">кафе 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Frauenhuber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рекламном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буклете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гордостью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сообщает,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частенько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посещали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Моцарт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Бетховен.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того, пару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играли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 xml:space="preserve">посетителей. </w:t>
      </w:r>
      <w:r w:rsidRPr="00962F27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Frauenhuber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долгую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историю, дата</w:t>
      </w:r>
      <w:r>
        <w:rPr>
          <w:rFonts w:ascii="Times New Roman" w:hAnsi="Times New Roman" w:cs="Times New Roman"/>
          <w:sz w:val="28"/>
          <w:szCs w:val="28"/>
        </w:rPr>
        <w:t xml:space="preserve"> осно</w:t>
      </w:r>
      <w:r w:rsidRPr="00962F27">
        <w:rPr>
          <w:rFonts w:ascii="Times New Roman" w:hAnsi="Times New Roman" w:cs="Times New Roman"/>
          <w:sz w:val="28"/>
          <w:szCs w:val="28"/>
        </w:rPr>
        <w:t>вания – 1824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Джорджо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Армани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частенько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заходит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миланские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рестораны,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Torre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Pisa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27">
        <w:rPr>
          <w:rFonts w:ascii="Times New Roman" w:hAnsi="Times New Roman" w:cs="Times New Roman"/>
          <w:sz w:val="28"/>
          <w:szCs w:val="28"/>
        </w:rPr>
        <w:t>Giacomo</w:t>
      </w:r>
      <w:proofErr w:type="spellEnd"/>
      <w:r w:rsidRPr="00962F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традиционной тосканской кухней</w:t>
      </w:r>
    </w:p>
    <w:p w:rsidR="00962F27" w:rsidRPr="00E66162" w:rsidRDefault="00962F27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2F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Ручное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воспринимается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качественнее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машинного. Его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962F27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себе </w:t>
      </w:r>
      <w:r w:rsidRPr="00962F27">
        <w:rPr>
          <w:rFonts w:ascii="Times New Roman" w:hAnsi="Times New Roman" w:cs="Times New Roman"/>
          <w:sz w:val="28"/>
          <w:szCs w:val="28"/>
        </w:rPr>
        <w:t>позволить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из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люксового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сегмента, так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как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ручной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труд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требует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F27">
        <w:rPr>
          <w:rFonts w:ascii="Times New Roman" w:hAnsi="Times New Roman" w:cs="Times New Roman"/>
          <w:sz w:val="28"/>
          <w:szCs w:val="28"/>
        </w:rPr>
        <w:t>гораздо</w:t>
      </w:r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="00D16872">
        <w:rPr>
          <w:rFonts w:ascii="Times New Roman" w:hAnsi="Times New Roman" w:cs="Times New Roman"/>
          <w:sz w:val="28"/>
          <w:szCs w:val="28"/>
        </w:rPr>
        <w:t xml:space="preserve"> </w:t>
      </w:r>
      <w:r w:rsidRPr="00962F27">
        <w:rPr>
          <w:rFonts w:ascii="Times New Roman" w:hAnsi="Times New Roman" w:cs="Times New Roman"/>
          <w:sz w:val="28"/>
          <w:szCs w:val="28"/>
        </w:rPr>
        <w:t>затрат.</w:t>
      </w:r>
    </w:p>
    <w:sectPr w:rsidR="00962F27" w:rsidRPr="00E66162" w:rsidSect="00B738D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56"/>
    <w:rsid w:val="000A231D"/>
    <w:rsid w:val="00895B09"/>
    <w:rsid w:val="008B0BEB"/>
    <w:rsid w:val="00962F27"/>
    <w:rsid w:val="00B738DA"/>
    <w:rsid w:val="00B77F06"/>
    <w:rsid w:val="00BE0250"/>
    <w:rsid w:val="00C15956"/>
    <w:rsid w:val="00D16872"/>
    <w:rsid w:val="00E66162"/>
    <w:rsid w:val="00F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111</cp:lastModifiedBy>
  <cp:revision>2</cp:revision>
  <dcterms:created xsi:type="dcterms:W3CDTF">2018-11-12T06:32:00Z</dcterms:created>
  <dcterms:modified xsi:type="dcterms:W3CDTF">2018-11-12T06:32:00Z</dcterms:modified>
</cp:coreProperties>
</file>